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FE52F9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1AB838E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01C37" w:rsidRPr="00A10359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3BCFA409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901C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Strategic Risk Management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2C1E538A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01C37" w:rsidRPr="00FE52F9">
              <w:rPr>
                <w:rFonts w:ascii="Times New Roman" w:hAnsi="Times New Roman" w:cs="Times New Roman"/>
                <w:bCs/>
                <w:sz w:val="20"/>
                <w:szCs w:val="20"/>
              </w:rPr>
              <w:t>Jelena Z. Stanković, PhD, Dejan Spasić,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2A035608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35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01C37">
              <w:rPr>
                <w:rFonts w:ascii="Times New Roman" w:hAnsi="Times New Roman" w:cs="Times New Roman"/>
                <w:sz w:val="20"/>
                <w:szCs w:val="20"/>
              </w:rPr>
              <w:t>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1D5B4846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901C37" w:rsidRPr="00FE52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1E84FCF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1D3A109F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  <w:r w:rsidR="0030273C">
              <w:rPr>
                <w:b/>
                <w:bCs/>
                <w:sz w:val="20"/>
                <w:szCs w:val="20"/>
              </w:rPr>
              <w:t xml:space="preserve"> (COs)</w:t>
            </w:r>
          </w:p>
          <w:p w14:paraId="53C26DD6" w14:textId="5C18DC5B" w:rsidR="00757089" w:rsidRPr="00901C37" w:rsidRDefault="00901C37" w:rsidP="00901C37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</w:rPr>
            </w:pPr>
            <w:r w:rsidRPr="00901C37">
              <w:rPr>
                <w:bCs/>
                <w:iCs/>
                <w:sz w:val="20"/>
                <w:szCs w:val="20"/>
              </w:rPr>
              <w:t>The course aims to advance and deepen students</w:t>
            </w:r>
            <w:r>
              <w:rPr>
                <w:bCs/>
                <w:iCs/>
                <w:sz w:val="20"/>
                <w:szCs w:val="20"/>
              </w:rPr>
              <w:t>’</w:t>
            </w:r>
            <w:r w:rsidRPr="00901C37">
              <w:rPr>
                <w:bCs/>
                <w:iCs/>
                <w:sz w:val="20"/>
                <w:szCs w:val="20"/>
              </w:rPr>
              <w:t xml:space="preserve"> knowledge in the field of integrated risk management, which represents a strategic approach to risk management focused on optimizing exposure to total risk and maximizing the value of a socially responsible organization. In this sense, the course develops knowledge about the strategic role of integrated risk management systems in achieving the objectives of various entities and improving corporate governance (</w:t>
            </w:r>
            <w:r w:rsidR="0030273C">
              <w:rPr>
                <w:bCs/>
                <w:iCs/>
                <w:sz w:val="20"/>
                <w:szCs w:val="20"/>
              </w:rPr>
              <w:t>C</w:t>
            </w:r>
            <w:r>
              <w:rPr>
                <w:bCs/>
                <w:iCs/>
                <w:sz w:val="20"/>
                <w:szCs w:val="20"/>
              </w:rPr>
              <w:t>O</w:t>
            </w:r>
            <w:r w:rsidRPr="00901C37">
              <w:rPr>
                <w:bCs/>
                <w:iCs/>
                <w:sz w:val="20"/>
                <w:szCs w:val="20"/>
              </w:rPr>
              <w:t>1); provides a comprehensive and analytically grounded understanding of key risk categories, assessment methodologies, and risk management frameworks relevant to different organizations operating in complex, dynamic, and global environments (</w:t>
            </w:r>
            <w:r w:rsidR="0030273C">
              <w:rPr>
                <w:bCs/>
                <w:iCs/>
                <w:sz w:val="20"/>
                <w:szCs w:val="20"/>
              </w:rPr>
              <w:t>C</w:t>
            </w:r>
            <w:r>
              <w:rPr>
                <w:bCs/>
                <w:iCs/>
                <w:sz w:val="20"/>
                <w:szCs w:val="20"/>
              </w:rPr>
              <w:t>O</w:t>
            </w:r>
            <w:r w:rsidRPr="00901C37">
              <w:rPr>
                <w:bCs/>
                <w:iCs/>
                <w:sz w:val="20"/>
                <w:szCs w:val="20"/>
              </w:rPr>
              <w:t>2); enables students to recognize and understand the impact of organizational, cultural, and behavioral factors on risk perception and risk reporting (</w:t>
            </w:r>
            <w:r w:rsidR="0030273C">
              <w:rPr>
                <w:bCs/>
                <w:iCs/>
                <w:sz w:val="20"/>
                <w:szCs w:val="20"/>
              </w:rPr>
              <w:t>C</w:t>
            </w:r>
            <w:r>
              <w:rPr>
                <w:bCs/>
                <w:iCs/>
                <w:sz w:val="20"/>
                <w:szCs w:val="20"/>
              </w:rPr>
              <w:t>O</w:t>
            </w:r>
            <w:r w:rsidRPr="00901C37">
              <w:rPr>
                <w:bCs/>
                <w:iCs/>
                <w:sz w:val="20"/>
                <w:szCs w:val="20"/>
              </w:rPr>
              <w:t xml:space="preserve">3); and enables students to understand the role of insurance in the context of strategic risk management—as a risk transfer </w:t>
            </w:r>
            <w:r>
              <w:rPr>
                <w:bCs/>
                <w:iCs/>
                <w:sz w:val="20"/>
                <w:szCs w:val="20"/>
              </w:rPr>
              <w:t>mechanism</w:t>
            </w:r>
            <w:r w:rsidRPr="00901C37">
              <w:rPr>
                <w:bCs/>
                <w:iCs/>
                <w:sz w:val="20"/>
                <w:szCs w:val="20"/>
              </w:rPr>
              <w:t xml:space="preserve"> and as an area with specific </w:t>
            </w:r>
            <w:r>
              <w:rPr>
                <w:bCs/>
                <w:iCs/>
                <w:sz w:val="20"/>
                <w:szCs w:val="20"/>
              </w:rPr>
              <w:t xml:space="preserve">risk </w:t>
            </w:r>
            <w:r w:rsidRPr="00901C37">
              <w:rPr>
                <w:bCs/>
                <w:iCs/>
                <w:sz w:val="20"/>
                <w:szCs w:val="20"/>
              </w:rPr>
              <w:t>management challenges (</w:t>
            </w:r>
            <w:r w:rsidR="0030273C">
              <w:rPr>
                <w:bCs/>
                <w:iCs/>
                <w:sz w:val="20"/>
                <w:szCs w:val="20"/>
              </w:rPr>
              <w:t>C</w:t>
            </w:r>
            <w:r>
              <w:rPr>
                <w:bCs/>
                <w:iCs/>
                <w:sz w:val="20"/>
                <w:szCs w:val="20"/>
              </w:rPr>
              <w:t>O</w:t>
            </w:r>
            <w:r w:rsidRPr="00901C37">
              <w:rPr>
                <w:bCs/>
                <w:iCs/>
                <w:sz w:val="20"/>
                <w:szCs w:val="20"/>
              </w:rPr>
              <w:t>4).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15BA34E0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  <w:r w:rsidR="0030273C">
              <w:rPr>
                <w:b/>
                <w:bCs/>
                <w:sz w:val="20"/>
                <w:szCs w:val="20"/>
              </w:rPr>
              <w:t xml:space="preserve"> (LOs)</w:t>
            </w:r>
          </w:p>
          <w:p w14:paraId="5CA07085" w14:textId="0669F821" w:rsidR="0030273C" w:rsidRPr="0030273C" w:rsidRDefault="0030273C" w:rsidP="0030273C">
            <w:pPr>
              <w:rPr>
                <w:rFonts w:cs="Arial Unicode MS"/>
                <w:color w:val="000000"/>
                <w:sz w:val="20"/>
                <w:szCs w:val="20"/>
                <w:u w:color="000000"/>
              </w:rPr>
            </w:pPr>
            <w:r w:rsidRPr="0030273C">
              <w:rPr>
                <w:rFonts w:cs="Arial Unicode MS"/>
                <w:color w:val="000000"/>
                <w:sz w:val="20"/>
                <w:szCs w:val="20"/>
                <w:u w:color="000000"/>
              </w:rPr>
              <w:t>By successfully completing this course, students will</w:t>
            </w:r>
            <w:r>
              <w:rPr>
                <w:rFonts w:cs="Arial Unicode MS"/>
                <w:color w:val="000000"/>
                <w:sz w:val="20"/>
                <w:szCs w:val="20"/>
                <w:u w:color="000000"/>
              </w:rPr>
              <w:t xml:space="preserve"> acquire advance knowledge and</w:t>
            </w:r>
            <w:r w:rsidRPr="0030273C">
              <w:rPr>
                <w:rFonts w:cs="Arial Unicode MS"/>
                <w:color w:val="000000"/>
                <w:sz w:val="20"/>
                <w:szCs w:val="20"/>
                <w:u w:color="000000"/>
              </w:rPr>
              <w:t xml:space="preserve"> develop the following competencies:</w:t>
            </w:r>
          </w:p>
          <w:p w14:paraId="3ABD9E4F" w14:textId="2E1E96ED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1: Explain the role and analyze the effects of integrated risk management as a strategic tool for achieving the objectives of various organizations.</w:t>
            </w:r>
          </w:p>
          <w:p w14:paraId="19BDF4F5" w14:textId="76F32001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2: Identify and analyze key risk categories in different organizations and propose adequate management strategies for each.</w:t>
            </w:r>
          </w:p>
          <w:p w14:paraId="52566800" w14:textId="7E31EA3F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3: Apply strategic risk management principles in financial decision-making – in portfolio optimization, capital allocation, and integration of sustainable business principles.</w:t>
            </w:r>
          </w:p>
          <w:p w14:paraId="600C6282" w14:textId="238DCBC7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4: Define and differentiate various risk quantification concepts and perform appropriate calculations.</w:t>
            </w:r>
          </w:p>
          <w:p w14:paraId="710BB37D" w14:textId="1CD2425E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5: Apply various simulation techniques in risk analysis and quantification, and critically evaluate the advantages and limitations of each in different risk management contexts.</w:t>
            </w:r>
          </w:p>
          <w:p w14:paraId="1B7C4CF6" w14:textId="7BA28582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6: Analyze the impact of behavioral, cultural, and organizational factors on risk perception and decision-making in the risk management process.</w:t>
            </w:r>
          </w:p>
          <w:p w14:paraId="68D41781" w14:textId="0B32CD95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 xml:space="preserve">7: Understand the strategic role of insurance as a risk transfer </w:t>
            </w:r>
            <w:r>
              <w:rPr>
                <w:rFonts w:ascii="Times New Roman" w:hAnsi="Times New Roman"/>
                <w:sz w:val="20"/>
                <w:szCs w:val="20"/>
              </w:rPr>
              <w:t>mechanism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 xml:space="preserve"> within integrated risk management and analyze how organizations create insurance strategies aligned with overall risk appetite and risk exposure profile.</w:t>
            </w:r>
          </w:p>
          <w:p w14:paraId="4AB75E58" w14:textId="2EDAE2E5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8: Identify and analyze specific risk categories in insurance companies and assess their impact on the solvency and business performance of insurers.</w:t>
            </w:r>
          </w:p>
          <w:p w14:paraId="7EE577E4" w14:textId="0BFE0791" w:rsidR="0030273C" w:rsidRPr="0030273C" w:rsidRDefault="0030273C" w:rsidP="0030273C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9: Analyze different types of risk reports in accordance with relevant reporting standards and regulatory requirements.</w:t>
            </w:r>
          </w:p>
          <w:p w14:paraId="7D4542C3" w14:textId="19053A06" w:rsidR="00757089" w:rsidRPr="00757089" w:rsidRDefault="0030273C" w:rsidP="00757089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 xml:space="preserve">10: Analyze key general and sector-specific international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risk management </w:t>
            </w:r>
            <w:r w:rsidRPr="0030273C">
              <w:rPr>
                <w:rFonts w:ascii="Times New Roman" w:hAnsi="Times New Roman"/>
                <w:sz w:val="20"/>
                <w:szCs w:val="20"/>
              </w:rPr>
              <w:t>frameworks and standards and assess the effects of their applicability in different organizations.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10B9DFEC" w14:textId="3A6E69DB" w:rsidR="005F3A1E" w:rsidRPr="0000117C" w:rsidRDefault="0000117C" w:rsidP="0000117C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</w:rPr>
            </w:pPr>
            <w:r w:rsidRPr="0000117C">
              <w:rPr>
                <w:bCs/>
                <w:iCs/>
                <w:sz w:val="20"/>
                <w:szCs w:val="20"/>
              </w:rPr>
              <w:t>(1) Strategic risk management – concept, evolution, and the role of risk management in achieving objectives of various types of organizations;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(2) Frameworks and standards for integrated risk management – development of risk management regulations, COSO ERM and ISO 31000,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sector</w:t>
            </w:r>
            <w:r>
              <w:rPr>
                <w:bCs/>
                <w:iCs/>
                <w:sz w:val="20"/>
                <w:szCs w:val="20"/>
              </w:rPr>
              <w:t>-specific</w:t>
            </w:r>
            <w:r w:rsidRPr="0000117C">
              <w:rPr>
                <w:bCs/>
                <w:iCs/>
                <w:sz w:val="20"/>
                <w:szCs w:val="20"/>
              </w:rPr>
              <w:t xml:space="preserve"> frameworks and standards for risk management;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(3) Types and characteristics of risks in modern business – financial, operational, sustainable development risks, technological, and macroeconomic risks;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(4) Risk management process;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(5) Quantitative risk analysis – traditional and modern approaches to risk valuation;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(6) Simulation techniques in risk analysis – sensitivity analysis, Monte Carlo simulation, scenario analysis, and stress testing;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(7) Risk monitoring and reporting – internal and external risk reporting;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(8) Behavioral, cultural, and organizational dimensions of risk management;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(9) Insurance as a risk management strategy – determining insurance strategy and evaluating its effectiveness, innovations and trends in insurance;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00117C">
              <w:rPr>
                <w:bCs/>
                <w:iCs/>
                <w:sz w:val="20"/>
                <w:szCs w:val="20"/>
              </w:rPr>
              <w:t>(10) Risk management in insurance companies.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761438D9" w14:textId="2FB75FE1" w:rsidR="00757089" w:rsidRPr="00757089" w:rsidRDefault="005C3267" w:rsidP="00757089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5C3267">
              <w:rPr>
                <w:sz w:val="20"/>
                <w:szCs w:val="20"/>
              </w:rPr>
              <w:t>Analysis of financial flows and risk identification (case study); analysis of the effects of applying different risk valuation models (case study); selection of risk management strategy (case study analysis); discussion on the effects of implementing regulatory requirements in risk management (guest expert lecture).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32EFEF60" w14:textId="77777777" w:rsidR="00EC38B2" w:rsidRDefault="00EC38B2" w:rsidP="00EC38B2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Latn-RS"/>
              </w:rPr>
            </w:pPr>
            <w:r w:rsidRPr="002C0275">
              <w:rPr>
                <w:bCs/>
                <w:sz w:val="20"/>
                <w:szCs w:val="20"/>
                <w:lang w:val="sr-Cyrl-RS"/>
              </w:rPr>
              <w:t>Petrović, E., Stanković, J. Z. (2022).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C0275">
              <w:rPr>
                <w:i/>
                <w:iCs/>
                <w:sz w:val="20"/>
                <w:szCs w:val="20"/>
                <w:lang w:val="sr-Cyrl-RS"/>
              </w:rPr>
              <w:t>Upravljanje rizicima u finansijama i osiguranju - izazov održivog poslovanja</w:t>
            </w:r>
            <w:r w:rsidRPr="002C0275">
              <w:rPr>
                <w:bCs/>
                <w:sz w:val="20"/>
                <w:szCs w:val="20"/>
                <w:lang w:val="sr-Cyrl-RS"/>
              </w:rPr>
              <w:t>. Niš: Univerzitet u Nišu</w:t>
            </w:r>
            <w:r>
              <w:rPr>
                <w:bCs/>
                <w:sz w:val="20"/>
                <w:szCs w:val="20"/>
              </w:rPr>
              <w:t>.</w:t>
            </w:r>
          </w:p>
          <w:p w14:paraId="39BEF7D0" w14:textId="77777777" w:rsidR="00EC38B2" w:rsidRDefault="00EC38B2" w:rsidP="00EC38B2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Latn-RS"/>
              </w:rPr>
            </w:pPr>
            <w:r w:rsidRPr="00BF3801">
              <w:rPr>
                <w:bCs/>
                <w:sz w:val="20"/>
                <w:szCs w:val="20"/>
                <w:lang w:val="sr-Cyrl-RS"/>
              </w:rPr>
              <w:t>Damodaran, A. (2008).</w:t>
            </w:r>
            <w:r>
              <w:rPr>
                <w:bCs/>
                <w:sz w:val="20"/>
                <w:szCs w:val="20"/>
                <w:lang w:val="sr-Latn-RS"/>
              </w:rPr>
              <w:t xml:space="preserve"> </w:t>
            </w:r>
            <w:r w:rsidRPr="00BF3801">
              <w:rPr>
                <w:bCs/>
                <w:i/>
                <w:iCs/>
                <w:sz w:val="20"/>
                <w:szCs w:val="20"/>
                <w:lang w:val="sr-Cyrl-RS"/>
              </w:rPr>
              <w:t>Strategic risk taking: a framework for risk management</w:t>
            </w:r>
            <w:r w:rsidRPr="00BF3801">
              <w:rPr>
                <w:bCs/>
                <w:sz w:val="20"/>
                <w:szCs w:val="20"/>
                <w:lang w:val="sr-Cyrl-RS"/>
              </w:rPr>
              <w:t>. Pearson Prentice Hall.</w:t>
            </w:r>
          </w:p>
          <w:p w14:paraId="6E35BA68" w14:textId="77777777" w:rsidR="00EC38B2" w:rsidRDefault="00EC38B2" w:rsidP="00EC38B2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Latn-RS"/>
              </w:rPr>
            </w:pPr>
            <w:r w:rsidRPr="00A72E33">
              <w:rPr>
                <w:bCs/>
                <w:sz w:val="20"/>
                <w:szCs w:val="20"/>
                <w:lang w:val="sr-Cyrl-RS"/>
              </w:rPr>
              <w:t>Harvey, C. R., Rattray, S., &amp; Van Hemert, O. (2021).</w:t>
            </w:r>
            <w:r>
              <w:rPr>
                <w:bCs/>
                <w:sz w:val="20"/>
                <w:szCs w:val="20"/>
                <w:lang w:val="sr-Latn-RS"/>
              </w:rPr>
              <w:t xml:space="preserve"> </w:t>
            </w:r>
            <w:r w:rsidRPr="00A72E33">
              <w:rPr>
                <w:bCs/>
                <w:i/>
                <w:iCs/>
                <w:sz w:val="20"/>
                <w:szCs w:val="20"/>
                <w:lang w:val="sr-Cyrl-RS"/>
              </w:rPr>
              <w:t>Strategic risk management: Designing portfolios and managing risk</w:t>
            </w:r>
            <w:r w:rsidRPr="00A72E33">
              <w:rPr>
                <w:bCs/>
                <w:sz w:val="20"/>
                <w:szCs w:val="20"/>
                <w:lang w:val="sr-Cyrl-RS"/>
              </w:rPr>
              <w:t>. John Wiley &amp; Sons.</w:t>
            </w:r>
          </w:p>
          <w:p w14:paraId="1E3D0B70" w14:textId="77777777" w:rsidR="00EC38B2" w:rsidRDefault="00EC38B2" w:rsidP="00EC38B2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Latn-RS"/>
              </w:rPr>
            </w:pPr>
            <w:r w:rsidRPr="003F5637">
              <w:rPr>
                <w:bCs/>
                <w:sz w:val="20"/>
                <w:szCs w:val="20"/>
                <w:lang w:val="sr-Cyrl-RS"/>
              </w:rPr>
              <w:lastRenderedPageBreak/>
              <w:t>Sweeting, P. (2017).</w:t>
            </w:r>
            <w:r>
              <w:rPr>
                <w:bCs/>
                <w:sz w:val="20"/>
                <w:szCs w:val="20"/>
                <w:lang w:val="sr-Latn-RS"/>
              </w:rPr>
              <w:t xml:space="preserve"> </w:t>
            </w:r>
            <w:r w:rsidRPr="003F5637">
              <w:rPr>
                <w:bCs/>
                <w:i/>
                <w:iCs/>
                <w:sz w:val="20"/>
                <w:szCs w:val="20"/>
                <w:lang w:val="sr-Cyrl-RS"/>
              </w:rPr>
              <w:t>Financial enterprise risk management</w:t>
            </w:r>
            <w:r w:rsidRPr="003F5637">
              <w:rPr>
                <w:bCs/>
                <w:sz w:val="20"/>
                <w:szCs w:val="20"/>
                <w:lang w:val="sr-Cyrl-RS"/>
              </w:rPr>
              <w:t>. Cambridge University Press.</w:t>
            </w:r>
          </w:p>
          <w:p w14:paraId="26EC91A5" w14:textId="77777777" w:rsidR="00EC38B2" w:rsidRDefault="00EC38B2" w:rsidP="00EC38B2">
            <w:pPr>
              <w:tabs>
                <w:tab w:val="left" w:pos="567"/>
              </w:tabs>
              <w:spacing w:after="60"/>
              <w:jc w:val="both"/>
              <w:rPr>
                <w:bCs/>
                <w:sz w:val="20"/>
                <w:szCs w:val="20"/>
                <w:lang w:val="sr-Latn-RS"/>
              </w:rPr>
            </w:pPr>
            <w:r w:rsidRPr="003F5637">
              <w:rPr>
                <w:bCs/>
                <w:sz w:val="20"/>
                <w:szCs w:val="20"/>
                <w:lang w:val="sr-Cyrl-RS"/>
              </w:rPr>
              <w:t>Godfrey, P. C., Lauria, E., Bugalla, J., &amp; Narvaez, K. (2020).</w:t>
            </w:r>
            <w:r>
              <w:rPr>
                <w:bCs/>
                <w:sz w:val="20"/>
                <w:szCs w:val="20"/>
                <w:lang w:val="sr-Latn-RS"/>
              </w:rPr>
              <w:t xml:space="preserve"> </w:t>
            </w:r>
            <w:r w:rsidRPr="003F5637">
              <w:rPr>
                <w:bCs/>
                <w:i/>
                <w:iCs/>
                <w:sz w:val="20"/>
                <w:szCs w:val="20"/>
                <w:lang w:val="sr-Cyrl-RS"/>
              </w:rPr>
              <w:t>Strategic risk management: New tools for competitive advantage in an uncertain age</w:t>
            </w:r>
            <w:r w:rsidRPr="003F5637">
              <w:rPr>
                <w:bCs/>
                <w:sz w:val="20"/>
                <w:szCs w:val="20"/>
                <w:lang w:val="sr-Cyrl-RS"/>
              </w:rPr>
              <w:t>. Berrett-Koehler Publishers.</w:t>
            </w:r>
          </w:p>
          <w:p w14:paraId="5D45C2BE" w14:textId="0D52E9FE" w:rsidR="00757089" w:rsidRPr="00757089" w:rsidRDefault="00EC38B2" w:rsidP="00EC38B2">
            <w:pPr>
              <w:contextualSpacing/>
              <w:rPr>
                <w:sz w:val="20"/>
                <w:szCs w:val="20"/>
              </w:rPr>
            </w:pPr>
            <w:r w:rsidRPr="006E4F47">
              <w:rPr>
                <w:bCs/>
                <w:sz w:val="20"/>
                <w:szCs w:val="20"/>
                <w:lang w:val="sr-Cyrl-RS"/>
              </w:rPr>
              <w:t>Kriele, M., &amp; Wolf, J. (2014).</w:t>
            </w:r>
            <w:r>
              <w:rPr>
                <w:bCs/>
                <w:sz w:val="20"/>
                <w:szCs w:val="20"/>
                <w:lang w:val="sr-Latn-RS"/>
              </w:rPr>
              <w:t xml:space="preserve"> </w:t>
            </w:r>
            <w:r w:rsidRPr="006E4F47">
              <w:rPr>
                <w:bCs/>
                <w:i/>
                <w:iCs/>
                <w:sz w:val="20"/>
                <w:szCs w:val="20"/>
                <w:lang w:val="sr-Cyrl-RS"/>
              </w:rPr>
              <w:t>Value-oriented risk management of insurance companies</w:t>
            </w:r>
            <w:r w:rsidRPr="006E4F47">
              <w:rPr>
                <w:bCs/>
                <w:sz w:val="20"/>
                <w:szCs w:val="20"/>
                <w:lang w:val="sr-Cyrl-RS"/>
              </w:rPr>
              <w:t>. Springer Science &amp; Business Media.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25FB9A14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10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015864FE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359" w:rsidRPr="00A10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0DF8256D" w14:textId="646E337E" w:rsidR="00757089" w:rsidRPr="005F3A1E" w:rsidRDefault="00EC38B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C38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Lecturer presentations, case studies, discussions and analysis of current trends in financial markets, computational exercises, application of software packages for risk valuation, guest expert lectures.</w:t>
            </w: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6306E55D" w:rsidR="00641FAC" w:rsidRPr="005F3A1E" w:rsidRDefault="00641FAC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73012002" w:rsidR="001671C7" w:rsidRPr="005F3A1E" w:rsidRDefault="00EC38B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4BE08EE6" w:rsidR="001671C7" w:rsidRPr="005F3A1E" w:rsidRDefault="00EC38B2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38178089" w:rsidR="00D06004" w:rsidRPr="005F3A1E" w:rsidRDefault="00EC38B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Seminar(s)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4DD2C8C6" w:rsidR="00D06004" w:rsidRPr="005F3A1E" w:rsidRDefault="00EC38B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2BCB7" w14:textId="77777777" w:rsidR="00E45ABA" w:rsidRDefault="00E45ABA">
      <w:r>
        <w:separator/>
      </w:r>
    </w:p>
  </w:endnote>
  <w:endnote w:type="continuationSeparator" w:id="0">
    <w:p w14:paraId="4321753D" w14:textId="77777777" w:rsidR="00E45ABA" w:rsidRDefault="00E4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E3B41" w14:textId="77777777" w:rsidR="00E45ABA" w:rsidRDefault="00E45ABA">
      <w:r>
        <w:separator/>
      </w:r>
    </w:p>
  </w:footnote>
  <w:footnote w:type="continuationSeparator" w:id="0">
    <w:p w14:paraId="510A0CDC" w14:textId="77777777" w:rsidR="00E45ABA" w:rsidRDefault="00E45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46511">
    <w:abstractNumId w:val="7"/>
  </w:num>
  <w:num w:numId="2" w16cid:durableId="1117219623">
    <w:abstractNumId w:val="5"/>
  </w:num>
  <w:num w:numId="3" w16cid:durableId="1964116280">
    <w:abstractNumId w:val="4"/>
  </w:num>
  <w:num w:numId="4" w16cid:durableId="1053429992">
    <w:abstractNumId w:val="2"/>
  </w:num>
  <w:num w:numId="5" w16cid:durableId="465708861">
    <w:abstractNumId w:val="0"/>
  </w:num>
  <w:num w:numId="6" w16cid:durableId="750127319">
    <w:abstractNumId w:val="8"/>
  </w:num>
  <w:num w:numId="7" w16cid:durableId="366028711">
    <w:abstractNumId w:val="9"/>
  </w:num>
  <w:num w:numId="8" w16cid:durableId="1344935964">
    <w:abstractNumId w:val="6"/>
  </w:num>
  <w:num w:numId="9" w16cid:durableId="1623421383">
    <w:abstractNumId w:val="3"/>
  </w:num>
  <w:num w:numId="10" w16cid:durableId="1574509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0117C"/>
    <w:rsid w:val="00021232"/>
    <w:rsid w:val="00045EAD"/>
    <w:rsid w:val="00056088"/>
    <w:rsid w:val="0005613C"/>
    <w:rsid w:val="000D7366"/>
    <w:rsid w:val="001226A1"/>
    <w:rsid w:val="00122DB5"/>
    <w:rsid w:val="001248E0"/>
    <w:rsid w:val="00160A88"/>
    <w:rsid w:val="00160BCD"/>
    <w:rsid w:val="001671C7"/>
    <w:rsid w:val="00192F3E"/>
    <w:rsid w:val="001A6813"/>
    <w:rsid w:val="001B641D"/>
    <w:rsid w:val="002011A8"/>
    <w:rsid w:val="00220D99"/>
    <w:rsid w:val="00234CBD"/>
    <w:rsid w:val="00270C16"/>
    <w:rsid w:val="002714FF"/>
    <w:rsid w:val="00282EFE"/>
    <w:rsid w:val="002A40A7"/>
    <w:rsid w:val="002A57C6"/>
    <w:rsid w:val="002E1476"/>
    <w:rsid w:val="0030273C"/>
    <w:rsid w:val="00325620"/>
    <w:rsid w:val="00341AC8"/>
    <w:rsid w:val="00341E58"/>
    <w:rsid w:val="00365985"/>
    <w:rsid w:val="0037139A"/>
    <w:rsid w:val="00380C26"/>
    <w:rsid w:val="00385793"/>
    <w:rsid w:val="00386402"/>
    <w:rsid w:val="00405D7A"/>
    <w:rsid w:val="00411BD1"/>
    <w:rsid w:val="004244F8"/>
    <w:rsid w:val="004245F7"/>
    <w:rsid w:val="004921F7"/>
    <w:rsid w:val="00500B0B"/>
    <w:rsid w:val="00523340"/>
    <w:rsid w:val="005507C5"/>
    <w:rsid w:val="005842F8"/>
    <w:rsid w:val="00592A50"/>
    <w:rsid w:val="005B2B23"/>
    <w:rsid w:val="005C3267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E44CA"/>
    <w:rsid w:val="007F1C56"/>
    <w:rsid w:val="007F75C2"/>
    <w:rsid w:val="00837E2E"/>
    <w:rsid w:val="008539E8"/>
    <w:rsid w:val="00875F92"/>
    <w:rsid w:val="008936D1"/>
    <w:rsid w:val="008A4D74"/>
    <w:rsid w:val="00901C37"/>
    <w:rsid w:val="00920682"/>
    <w:rsid w:val="009365C4"/>
    <w:rsid w:val="0096591A"/>
    <w:rsid w:val="00976629"/>
    <w:rsid w:val="00983116"/>
    <w:rsid w:val="00993B18"/>
    <w:rsid w:val="009E21AF"/>
    <w:rsid w:val="00A10359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45ABA"/>
    <w:rsid w:val="00E64EA3"/>
    <w:rsid w:val="00E72084"/>
    <w:rsid w:val="00EC38B2"/>
    <w:rsid w:val="00EF07E3"/>
    <w:rsid w:val="00EF5CA3"/>
    <w:rsid w:val="00F3363F"/>
    <w:rsid w:val="00F45F3B"/>
    <w:rsid w:val="00FC4E1F"/>
    <w:rsid w:val="00F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B4E4-BB17-4D6A-8941-D1F7B784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2026-05-09T09:35:00Z</dcterms:created>
  <dcterms:modified xsi:type="dcterms:W3CDTF">2026-06-08T12:25:00Z</dcterms:modified>
</cp:coreProperties>
</file>